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9350"/>
      </w:tblGrid>
      <w:tr>
        <w:trPr>
          <w:trHeight w:val="15300" w:hRule="atLeast"/>
        </w:trPr>
        <w:tc>
          <w:tcPr>
            <w:tcW w:type="dxa" w:w="9350"/>
            <w:shd w:fill="4A1B0C" w:color="auto" w:val="clear"/>
            <w:tcMar>
              <w:top w:type="dxa" w:w="200"/>
              <w:left w:type="dxa" w:w="200"/>
              <w:bottom w:type="dxa" w:w="200"/>
              <w:right w:type="dxa" w:w="200"/>
            </w:tcMar>
            <w:vAlign w:val="center"/>
          </w:tcPr>
          <w:p>
            <w:pPr>
              <w:spacing w:after="60"/>
              <w:jc w:val="center"/>
            </w:pPr>
            <w:r>
              <w:rPr>
                <w:rFonts w:ascii="Calibri" w:cs="Calibri" w:eastAsia="Calibri" w:hAnsi="Calibri"/>
                <w:color w:val="FAEEDA"/>
                <w:sz w:val="96"/>
                <w:szCs w:val="96"/>
              </w:rPr>
              <w:t xml:space="preserve">संयोग</w:t>
            </w:r>
          </w:p>
          <w:p>
            <w:pPr>
              <w:spacing w:after="40"/>
              <w:jc w:val="center"/>
            </w:pPr>
            <w:r>
              <w:rPr>
                <w:rFonts w:ascii="Calibri" w:cs="Calibri" w:eastAsia="Calibri" w:hAnsi="Calibri"/>
                <w:b/>
                <w:bCs/>
                <w:color w:val="FAEEDA"/>
                <w:spacing w:val="40"/>
                <w:sz w:val="56"/>
                <w:szCs w:val="56"/>
              </w:rPr>
              <w:t xml:space="preserve">SANYOG</w:t>
            </w:r>
          </w:p>
          <w:p>
            <w:pPr>
              <w:spacing w:after="240"/>
              <w:jc w:val="center"/>
            </w:pPr>
            <w:r>
              <w:rPr>
                <w:rFonts w:ascii="Calibri" w:cs="Calibri" w:eastAsia="Calibri" w:hAnsi="Calibri"/>
                <w:color w:val="C9A171"/>
                <w:spacing w:val="30"/>
                <w:sz w:val="26"/>
                <w:szCs w:val="26"/>
              </w:rPr>
              <w:t xml:space="preserve">A CONFLUENCE OF MINDS</w:t>
            </w:r>
          </w:p>
          <w:p>
            <w:pPr>
              <w:spacing w:after="40"/>
              <w:jc w:val="center"/>
            </w:pPr>
            <w:r>
              <w:rPr>
                <w:rFonts w:ascii="Calibri" w:cs="Calibri" w:eastAsia="Calibri" w:hAnsi="Calibri"/>
                <w:color w:val="F5C4B3"/>
                <w:sz w:val="22"/>
                <w:szCs w:val="22"/>
              </w:rPr>
              <w:t xml:space="preserve">Employee Engagement &amp; Wellbeing Program</w:t>
            </w:r>
          </w:p>
          <w:p>
            <w:pPr>
              <w:jc w:val="center"/>
            </w:pPr>
            <w:r>
              <w:rPr>
                <w:rFonts w:ascii="Calibri" w:cs="Calibri" w:eastAsia="Calibri" w:hAnsi="Calibri"/>
                <w:b/>
                <w:bCs/>
                <w:color w:val="D85A30"/>
                <w:sz w:val="22"/>
                <w:szCs w:val="22"/>
              </w:rPr>
              <w:t xml:space="preserve">2026</w:t>
            </w:r>
          </w:p>
        </w:tc>
      </w:tr>
    </w:tbl>
    <w:p>
      <w:pPr>
        <w:sectPr>
          <w:pgSz w:w="11906" w:h="16838" w:orient="portrait"/>
          <w:pgMar w:top="700" w:right="700" w:bottom="700" w:left="700" w:header="708" w:footer="708" w:gutter="0"/>
          <w:pgNumType/>
          <w:docGrid w:linePitch="360"/>
        </w:sectPr>
      </w:pPr>
    </w:p>
    <w:p>
      <w:pPr>
        <w:pStyle w:val="Heading1"/>
        <w:pBdr>
          <w:bottom w:val="single" w:color="D85A30" w:sz="6" w:space="4"/>
        </w:pBdr>
        <w:spacing w:after="160" w:before="320"/>
      </w:pPr>
      <w:r>
        <w:rPr>
          <w:rFonts w:ascii="Calibri" w:cs="Calibri" w:eastAsia="Calibri" w:hAnsi="Calibri"/>
          <w:b/>
          <w:bCs/>
          <w:color w:val="993C1D"/>
          <w:sz w:val="30"/>
          <w:szCs w:val="30"/>
        </w:rPr>
        <w:t xml:space="preserve">About Sanyog</w:t>
      </w:r>
    </w:p>
    <w:p>
      <w:pPr>
        <w:spacing w:after="160" w:line="300"/>
      </w:pPr>
      <w:r>
        <w:rPr>
          <w:rFonts w:ascii="Calibri" w:cs="Calibri" w:eastAsia="Calibri" w:hAnsi="Calibri"/>
          <w:color w:val="3A2A22"/>
          <w:sz w:val="22"/>
          <w:szCs w:val="22"/>
        </w:rPr>
        <w:t xml:space="preserve">Sanyog: A Confluence of Minds is our employee engagement and wellbeing program, designed to bring people together through celebration, creativity, and mindful moments. It creates space for connection at work while offering room to pause and recharge.</w:t>
      </w:r>
    </w:p>
    <w:p>
      <w:pPr>
        <w:spacing w:after="160" w:line="300"/>
      </w:pPr>
      <w:r>
        <w:rPr>
          <w:rFonts w:ascii="Calibri" w:cs="Calibri" w:eastAsia="Calibri" w:hAnsi="Calibri"/>
          <w:color w:val="3A2A22"/>
          <w:sz w:val="22"/>
          <w:szCs w:val="22"/>
        </w:rPr>
        <w:t xml:space="preserve">At its heart, Sanyog rests on three pillars — Celebration, Wellbeing, and Connection. It reflects what we value as a team: coming together in celebration, looking out for one another's wellbeing through demanding stretches, and nurturing the bonds that make this a great place to work.</w:t>
      </w:r>
    </w:p>
    <w:p>
      <w:pPr>
        <w:spacing w:after="160" w:line="300"/>
      </w:pPr>
      <w:r>
        <w:rPr>
          <w:rFonts w:ascii="Calibri" w:cs="Calibri" w:eastAsia="Calibri" w:hAnsi="Calibri"/>
          <w:color w:val="3A2A22"/>
          <w:sz w:val="22"/>
          <w:szCs w:val="22"/>
        </w:rPr>
        <w:t xml:space="preserve">Sanyog aims to reinforce organizational culture, make everyday work feel a little more meaningful, and strengthen relationships among employees. It is designed to be open and inclusive — no specific tradition required, just good company.</w:t>
      </w:r>
    </w:p>
    <w:p>
      <w:pPr>
        <w:pStyle w:val="Heading1"/>
        <w:pBdr>
          <w:bottom w:val="single" w:color="D85A30" w:sz="6" w:space="4"/>
        </w:pBdr>
        <w:spacing w:after="160" w:before="320"/>
      </w:pPr>
      <w:r>
        <w:rPr>
          <w:rFonts w:ascii="Calibri" w:cs="Calibri" w:eastAsia="Calibri" w:hAnsi="Calibri"/>
          <w:b/>
          <w:bCs/>
          <w:color w:val="993C1D"/>
          <w:sz w:val="30"/>
          <w:szCs w:val="30"/>
        </w:rPr>
        <w:t xml:space="preserve">Who Is It For</w:t>
      </w:r>
    </w:p>
    <w:p>
      <w:pPr>
        <w:spacing w:after="160" w:line="300"/>
      </w:pPr>
      <w:r>
        <w:rPr>
          <w:rFonts w:ascii="Calibri" w:cs="Calibri" w:eastAsia="Calibri" w:hAnsi="Calibri"/>
          <w:color w:val="3A2A22"/>
          <w:sz w:val="22"/>
          <w:szCs w:val="22"/>
        </w:rPr>
        <w:t xml:space="preserve">Sanyog is open to every employee, across all teams and levels. It is designed to be inclusive by design, with no specific tradition or background required to participate.</w:t>
      </w:r>
    </w:p>
    <w:p>
      <w:pPr>
        <w:pStyle w:val="Heading1"/>
        <w:pBdr>
          <w:bottom w:val="single" w:color="D85A30" w:sz="6" w:space="4"/>
        </w:pBdr>
        <w:spacing w:after="160" w:before="320"/>
      </w:pPr>
      <w:r>
        <w:rPr>
          <w:rFonts w:ascii="Calibri" w:cs="Calibri" w:eastAsia="Calibri" w:hAnsi="Calibri"/>
          <w:b/>
          <w:bCs/>
          <w:color w:val="993C1D"/>
          <w:sz w:val="30"/>
          <w:szCs w:val="30"/>
        </w:rPr>
        <w:t xml:space="preserve">The Three Pillars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7"/>
        <w:gridCol w:w="3117"/>
        <w:gridCol w:w="3116"/>
      </w:tblGrid>
      <w:tr>
        <w:tc>
          <w:tcPr>
            <w:tcW w:type="dxa" w:w="3117"/>
            <w:shd w:fill="F5C4B3" w:color="auto" w:val="clear"/>
            <w:tcMar>
              <w:top w:type="dxa" w:w="120"/>
              <w:left w:type="dxa" w:w="140"/>
              <w:bottom w:type="dxa" w:w="120"/>
              <w:right w:type="dxa" w:w="140"/>
            </w:tcMar>
            <w:vAlign w:val="center"/>
          </w:tcPr>
          <w:p>
            <w:pPr>
              <w:spacing w:after="40"/>
              <w:jc w:val="center"/>
            </w:pPr>
            <w:r>
              <w:rPr>
                <w:rFonts w:ascii="Calibri" w:cs="Calibri" w:eastAsia="Calibri" w:hAnsi="Calibri"/>
                <w:b/>
                <w:bCs/>
                <w:color w:val="3A2A22"/>
                <w:sz w:val="22"/>
                <w:szCs w:val="22"/>
              </w:rPr>
              <w:t xml:space="preserve">Celebration</w:t>
            </w:r>
          </w:p>
        </w:tc>
        <w:tc>
          <w:tcPr>
            <w:tcW w:type="dxa" w:w="3117"/>
            <w:shd w:fill="F0997B" w:color="auto" w:val="clear"/>
            <w:tcMar>
              <w:top w:type="dxa" w:w="120"/>
              <w:left w:type="dxa" w:w="140"/>
              <w:bottom w:type="dxa" w:w="120"/>
              <w:right w:type="dxa" w:w="140"/>
            </w:tcMar>
            <w:vAlign w:val="center"/>
          </w:tcPr>
          <w:p>
            <w:pPr>
              <w:spacing w:after="40"/>
              <w:jc w:val="center"/>
            </w:pPr>
            <w:r>
              <w:rPr>
                <w:rFonts w:ascii="Calibri" w:cs="Calibri" w:eastAsia="Calibri" w:hAnsi="Calibri"/>
                <w:b/>
                <w:bCs/>
                <w:color w:val="3A2A22"/>
                <w:sz w:val="22"/>
                <w:szCs w:val="22"/>
              </w:rPr>
              <w:t xml:space="preserve">Wellbeing</w:t>
            </w:r>
          </w:p>
        </w:tc>
        <w:tc>
          <w:tcPr>
            <w:tcW w:type="dxa" w:w="3116"/>
            <w:shd w:fill="D85A30" w:color="auto" w:val="clear"/>
            <w:tcMar>
              <w:top w:type="dxa" w:w="120"/>
              <w:left w:type="dxa" w:w="140"/>
              <w:bottom w:type="dxa" w:w="120"/>
              <w:right w:type="dxa" w:w="140"/>
            </w:tcMar>
            <w:vAlign w:val="center"/>
          </w:tcPr>
          <w:p>
            <w:pPr>
              <w:spacing w:after="40"/>
              <w:jc w:val="center"/>
            </w:pPr>
            <w:r>
              <w:rPr>
                <w:rFonts w:ascii="Calibri" w:cs="Calibri" w:eastAsia="Calibri" w:hAnsi="Calibri"/>
                <w:b/>
                <w:bCs/>
                <w:color w:val="FFFFFF"/>
                <w:sz w:val="22"/>
                <w:szCs w:val="22"/>
              </w:rPr>
              <w:t xml:space="preserve">Connection</w:t>
            </w:r>
          </w:p>
        </w:tc>
      </w:tr>
      <w:tr>
        <w:tc>
          <w:tcPr>
            <w:tcW w:type="dxa" w:w="3117"/>
            <w:tcMar>
              <w:top w:type="dxa" w:w="120"/>
              <w:left w:type="dxa" w:w="140"/>
              <w:bottom w:type="dxa" w:w="120"/>
              <w:right w:type="dxa" w:w="140"/>
            </w:tcMar>
            <w:vAlign w:val="center"/>
          </w:tcPr>
          <w:p>
            <w:pPr>
              <w:spacing w:after="40"/>
              <w:jc w:val="center"/>
            </w:pPr>
            <w:r>
              <w:rPr>
                <w:rFonts w:ascii="Calibri" w:cs="Calibri" w:eastAsia="Calibri" w:hAnsi="Calibri"/>
                <w:b w:val="false"/>
                <w:bCs w:val="false"/>
                <w:color w:val="3A2A22"/>
                <w:sz w:val="20"/>
                <w:szCs w:val="20"/>
              </w:rPr>
              <w:t xml:space="preserve">Shared moments, open to everyone — decoration contests, potlucks, and festive get-togethers.</w:t>
            </w:r>
          </w:p>
        </w:tc>
        <w:tc>
          <w:tcPr>
            <w:tcW w:type="dxa" w:w="3117"/>
            <w:tcMar>
              <w:top w:type="dxa" w:w="120"/>
              <w:left w:type="dxa" w:w="140"/>
              <w:bottom w:type="dxa" w:w="120"/>
              <w:right w:type="dxa" w:w="140"/>
            </w:tcMar>
            <w:vAlign w:val="center"/>
          </w:tcPr>
          <w:p>
            <w:pPr>
              <w:spacing w:after="40"/>
              <w:jc w:val="center"/>
            </w:pPr>
            <w:r>
              <w:rPr>
                <w:rFonts w:ascii="Calibri" w:cs="Calibri" w:eastAsia="Calibri" w:hAnsi="Calibri"/>
                <w:b w:val="false"/>
                <w:bCs w:val="false"/>
                <w:color w:val="3A2A22"/>
                <w:sz w:val="20"/>
                <w:szCs w:val="20"/>
              </w:rPr>
              <w:t xml:space="preserve">Space to pause and recharge — wind-down sessions, mindfulness breaks, and stress relief.</w:t>
            </w:r>
          </w:p>
        </w:tc>
        <w:tc>
          <w:tcPr>
            <w:tcW w:type="dxa" w:w="3116"/>
            <w:tcMar>
              <w:top w:type="dxa" w:w="120"/>
              <w:left w:type="dxa" w:w="140"/>
              <w:bottom w:type="dxa" w:w="120"/>
              <w:right w:type="dxa" w:w="140"/>
            </w:tcMar>
            <w:vAlign w:val="center"/>
          </w:tcPr>
          <w:p>
            <w:pPr>
              <w:spacing w:after="40"/>
              <w:jc w:val="center"/>
            </w:pPr>
            <w:r>
              <w:rPr>
                <w:rFonts w:ascii="Calibri" w:cs="Calibri" w:eastAsia="Calibri" w:hAnsi="Calibri"/>
                <w:b w:val="false"/>
                <w:bCs w:val="false"/>
                <w:color w:val="3A2A22"/>
                <w:sz w:val="20"/>
                <w:szCs w:val="20"/>
              </w:rPr>
              <w:t xml:space="preserve">Building bonds across teams — gift exchanges, team awards, and year-in-review moments.</w:t>
            </w:r>
          </w:p>
        </w:tc>
      </w:tr>
    </w:tbl>
    <w:p>
      <w:r>
        <w:br w:type="page"/>
      </w:r>
    </w:p>
    <w:p>
      <w:pPr>
        <w:pStyle w:val="Heading1"/>
        <w:pBdr>
          <w:bottom w:val="single" w:color="D85A30" w:sz="6" w:space="4"/>
        </w:pBdr>
        <w:spacing w:after="160" w:before="320"/>
      </w:pPr>
      <w:r>
        <w:rPr>
          <w:rFonts w:ascii="Calibri" w:cs="Calibri" w:eastAsia="Calibri" w:hAnsi="Calibri"/>
          <w:b/>
          <w:bCs/>
          <w:color w:val="993C1D"/>
          <w:sz w:val="30"/>
          <w:szCs w:val="30"/>
        </w:rPr>
        <w:t xml:space="preserve">Program Structure</w:t>
      </w:r>
    </w:p>
    <w:p>
      <w:pPr>
        <w:spacing w:after="160" w:line="300"/>
      </w:pPr>
      <w:r>
        <w:rPr>
          <w:rFonts w:ascii="Calibri" w:cs="Calibri" w:eastAsia="Calibri" w:hAnsi="Calibri"/>
          <w:color w:val="3A2A22"/>
          <w:sz w:val="22"/>
          <w:szCs w:val="22"/>
        </w:rPr>
        <w:t xml:space="preserve">Sanyog runs across three phases over approximately 8–10 weeks. Each phase blends all three pillars, and the Season Passport and light wellness options remain available in the background between phases to keep engagement alive.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2400"/>
        <w:gridCol w:w="2400"/>
        <w:gridCol w:w="4550"/>
      </w:tblGrid>
      <w:tr>
        <w:tc>
          <w:tcPr>
            <w:tcW w:type="dxa" w:w="2400"/>
            <w:shd w:fill="993C1D"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FFFFFF"/>
                <w:sz w:val="20"/>
                <w:szCs w:val="20"/>
              </w:rPr>
              <w:t xml:space="preserve">Phase</w:t>
            </w:r>
          </w:p>
        </w:tc>
        <w:tc>
          <w:tcPr>
            <w:tcW w:type="dxa" w:w="2400"/>
            <w:shd w:fill="993C1D"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FFFFFF"/>
                <w:sz w:val="20"/>
                <w:szCs w:val="20"/>
              </w:rPr>
              <w:t xml:space="preserve">Timing</w:t>
            </w:r>
          </w:p>
        </w:tc>
        <w:tc>
          <w:tcPr>
            <w:tcW w:type="dxa" w:w="4550"/>
            <w:shd w:fill="993C1D"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FFFFFF"/>
                <w:sz w:val="20"/>
                <w:szCs w:val="20"/>
              </w:rPr>
              <w:t xml:space="preserve">Highlights</w:t>
            </w:r>
          </w:p>
        </w:tc>
      </w:tr>
      <w:tr>
        <w:tc>
          <w:tcPr>
            <w:tcW w:type="dxa" w:w="2400"/>
            <w:shd w:fill="FCEEE3"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3A2A22"/>
                <w:sz w:val="20"/>
                <w:szCs w:val="20"/>
              </w:rPr>
              <w:t xml:space="preserve">Lights &amp; Cheer week</w:t>
            </w:r>
          </w:p>
        </w:tc>
        <w:tc>
          <w:tcPr>
            <w:tcW w:type="dxa" w:w="240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Early-to-mid November</w:t>
            </w:r>
          </w:p>
        </w:tc>
        <w:tc>
          <w:tcPr>
            <w:tcW w:type="dxa" w:w="455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Office/desk decoration contest · Shared potluck · Early wind-down session</w:t>
            </w:r>
          </w:p>
        </w:tc>
      </w:tr>
      <w:tr>
        <w:tc>
          <w:tcPr>
            <w:tcW w:type="dxa" w:w="2400"/>
            <w:shd w:fill="F9DFC9"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3A2A22"/>
                <w:sz w:val="20"/>
                <w:szCs w:val="20"/>
              </w:rPr>
              <w:t xml:space="preserve">Winter Cheer week</w:t>
            </w:r>
          </w:p>
        </w:tc>
        <w:tc>
          <w:tcPr>
            <w:tcW w:type="dxa" w:w="240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Mid-to-late December</w:t>
            </w:r>
          </w:p>
        </w:tc>
        <w:tc>
          <w:tcPr>
            <w:tcW w:type="dxa" w:w="455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Gift exchange (Wishlist Swap) · Desk decorating · Short wellness breaks</w:t>
            </w:r>
          </w:p>
        </w:tc>
      </w:tr>
      <w:tr>
        <w:tc>
          <w:tcPr>
            <w:tcW w:type="dxa" w:w="2400"/>
            <w:shd w:fill="F6D1AF" w:color="auto" w:val="clear"/>
            <w:tcMar>
              <w:top w:type="dxa" w:w="120"/>
              <w:left w:type="dxa" w:w="140"/>
              <w:bottom w:type="dxa" w:w="120"/>
              <w:right w:type="dxa" w:w="140"/>
            </w:tcMar>
            <w:vAlign w:val="center"/>
          </w:tcPr>
          <w:p>
            <w:pPr>
              <w:spacing w:after="40"/>
              <w:jc w:val="left"/>
            </w:pPr>
            <w:r>
              <w:rPr>
                <w:rFonts w:ascii="Calibri" w:cs="Calibri" w:eastAsia="Calibri" w:hAnsi="Calibri"/>
                <w:b/>
                <w:bCs/>
                <w:color w:val="3A2A22"/>
                <w:sz w:val="20"/>
                <w:szCs w:val="20"/>
              </w:rPr>
              <w:t xml:space="preserve">New Year close</w:t>
            </w:r>
          </w:p>
        </w:tc>
        <w:tc>
          <w:tcPr>
            <w:tcW w:type="dxa" w:w="240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Last working day of Dec / first week of Jan</w:t>
            </w:r>
          </w:p>
        </w:tc>
        <w:tc>
          <w:tcPr>
            <w:tcW w:type="dxa" w:w="4550"/>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Countdown mini-party · Year-in-review wall · Team awards</w:t>
            </w:r>
          </w:p>
        </w:tc>
      </w:tr>
    </w:tbl>
    <w:p>
      <w:pPr>
        <w:pStyle w:val="Heading1"/>
        <w:pBdr>
          <w:bottom w:val="single" w:color="D85A30" w:sz="6" w:space="4"/>
        </w:pBdr>
        <w:spacing w:after="160" w:before="320"/>
      </w:pPr>
      <w:r>
        <w:rPr>
          <w:rFonts w:ascii="Calibri" w:cs="Calibri" w:eastAsia="Calibri" w:hAnsi="Calibri"/>
          <w:b/>
          <w:bCs/>
          <w:color w:val="993C1D"/>
          <w:sz w:val="30"/>
          <w:szCs w:val="30"/>
        </w:rPr>
        <w:t xml:space="preserve">The Season Passport</w:t>
      </w:r>
    </w:p>
    <w:p>
      <w:pPr>
        <w:spacing w:after="160" w:line="300"/>
      </w:pPr>
      <w:r>
        <w:rPr>
          <w:rFonts w:ascii="Calibri" w:cs="Calibri" w:eastAsia="Calibri" w:hAnsi="Calibri"/>
          <w:color w:val="3A2A22"/>
          <w:sz w:val="22"/>
          <w:szCs w:val="22"/>
        </w:rPr>
        <w:t xml:space="preserve">Every employee collects a stamp on their Season Passport at each event they participate in. Employees who complete the full passport across the season qualify for a small reward — keeping engagement consistent throughout, not limited to one-off events.</w:t>
      </w:r>
    </w:p>
    <w:p>
      <w:pPr>
        <w:pStyle w:val="ListParagraph"/>
        <w:numPr>
          <w:ilvl w:val="0"/>
          <w:numId w:val="2"/>
        </w:numPr>
        <w:spacing w:after="90" w:line="280"/>
      </w:pPr>
      <w:r>
        <w:rPr>
          <w:rFonts w:ascii="Calibri" w:cs="Calibri" w:eastAsia="Calibri" w:hAnsi="Calibri"/>
          <w:color w:val="3A2A22"/>
          <w:sz w:val="22"/>
          <w:szCs w:val="22"/>
        </w:rPr>
        <w:t xml:space="preserve">Lights &amp; Cheer week event — Stamp 1</w:t>
      </w:r>
    </w:p>
    <w:p>
      <w:pPr>
        <w:pStyle w:val="ListParagraph"/>
        <w:numPr>
          <w:ilvl w:val="0"/>
          <w:numId w:val="2"/>
        </w:numPr>
        <w:spacing w:after="90" w:line="280"/>
      </w:pPr>
      <w:r>
        <w:rPr>
          <w:rFonts w:ascii="Calibri" w:cs="Calibri" w:eastAsia="Calibri" w:hAnsi="Calibri"/>
          <w:color w:val="3A2A22"/>
          <w:sz w:val="22"/>
          <w:szCs w:val="22"/>
        </w:rPr>
        <w:t xml:space="preserve">Any wellness session — Stamp 2</w:t>
      </w:r>
    </w:p>
    <w:p>
      <w:pPr>
        <w:pStyle w:val="ListParagraph"/>
        <w:numPr>
          <w:ilvl w:val="0"/>
          <w:numId w:val="2"/>
        </w:numPr>
        <w:spacing w:after="90" w:line="280"/>
      </w:pPr>
      <w:r>
        <w:rPr>
          <w:rFonts w:ascii="Calibri" w:cs="Calibri" w:eastAsia="Calibri" w:hAnsi="Calibri"/>
          <w:color w:val="3A2A22"/>
          <w:sz w:val="22"/>
          <w:szCs w:val="22"/>
        </w:rPr>
        <w:t xml:space="preserve">Winter Cheer week event — Stamp 3</w:t>
      </w:r>
    </w:p>
    <w:p>
      <w:pPr>
        <w:pStyle w:val="ListParagraph"/>
        <w:numPr>
          <w:ilvl w:val="0"/>
          <w:numId w:val="2"/>
        </w:numPr>
        <w:spacing w:after="90" w:line="280"/>
      </w:pPr>
      <w:r>
        <w:rPr>
          <w:rFonts w:ascii="Calibri" w:cs="Calibri" w:eastAsia="Calibri" w:hAnsi="Calibri"/>
          <w:color w:val="3A2A22"/>
          <w:sz w:val="22"/>
          <w:szCs w:val="22"/>
        </w:rPr>
        <w:t xml:space="preserve">New Year close event — Stamp 4</w:t>
      </w:r>
    </w:p>
    <w:p>
      <w:pPr>
        <w:pStyle w:val="ListParagraph"/>
        <w:numPr>
          <w:ilvl w:val="0"/>
          <w:numId w:val="2"/>
        </w:numPr>
        <w:spacing w:after="90" w:line="280"/>
      </w:pPr>
      <w:r>
        <w:rPr>
          <w:rFonts w:ascii="Calibri" w:cs="Calibri" w:eastAsia="Calibri" w:hAnsi="Calibri"/>
          <w:color w:val="3A2A22"/>
          <w:sz w:val="22"/>
          <w:szCs w:val="22"/>
        </w:rPr>
        <w:t xml:space="preserve">Full passport (4/4 stamps) — Reward eligible</w:t>
      </w:r>
    </w:p>
    <w:p>
      <w:r>
        <w:br w:type="page"/>
      </w:r>
    </w:p>
    <w:p>
      <w:pPr>
        <w:pStyle w:val="Heading1"/>
        <w:pBdr>
          <w:bottom w:val="single" w:color="D85A30" w:sz="6" w:space="4"/>
        </w:pBdr>
        <w:spacing w:after="160" w:before="320"/>
      </w:pPr>
      <w:r>
        <w:rPr>
          <w:rFonts w:ascii="Calibri" w:cs="Calibri" w:eastAsia="Calibri" w:hAnsi="Calibri"/>
          <w:b/>
          <w:bCs/>
          <w:color w:val="993C1D"/>
          <w:sz w:val="30"/>
          <w:szCs w:val="30"/>
        </w:rPr>
        <w:t xml:space="preserve">Benefits</w:t>
      </w:r>
    </w:p>
    <w:p>
      <w:pPr>
        <w:spacing w:after="160" w:line="300"/>
      </w:pPr>
      <w:r>
        <w:rPr>
          <w:rFonts w:ascii="Calibri" w:cs="Calibri" w:eastAsia="Calibri" w:hAnsi="Calibri"/>
          <w:color w:val="3A2A22"/>
          <w:sz w:val="22"/>
          <w:szCs w:val="22"/>
        </w:rPr>
        <w:t xml:space="preserve">Sanyog is designed to create value for both individual employees and the organization as a whole.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shd w:fill="F5C4B3" w:color="auto" w:val="clear"/>
            <w:tcMar>
              <w:top w:type="dxa" w:w="120"/>
              <w:left w:type="dxa" w:w="140"/>
              <w:bottom w:type="dxa" w:w="120"/>
              <w:right w:type="dxa" w:w="140"/>
            </w:tcMar>
            <w:vAlign w:val="center"/>
          </w:tcPr>
          <w:p>
            <w:pPr>
              <w:spacing w:after="40"/>
              <w:jc w:val="center"/>
            </w:pPr>
            <w:r>
              <w:rPr>
                <w:rFonts w:ascii="Calibri" w:cs="Calibri" w:eastAsia="Calibri" w:hAnsi="Calibri"/>
                <w:b/>
                <w:bCs/>
                <w:color w:val="3A2A22"/>
                <w:sz w:val="20"/>
                <w:szCs w:val="20"/>
              </w:rPr>
              <w:t xml:space="preserve">For Participants</w:t>
            </w:r>
          </w:p>
        </w:tc>
        <w:tc>
          <w:tcPr>
            <w:tcW w:type="dxa" w:w="4675"/>
            <w:shd w:fill="F0997B" w:color="auto" w:val="clear"/>
            <w:tcMar>
              <w:top w:type="dxa" w:w="120"/>
              <w:left w:type="dxa" w:w="140"/>
              <w:bottom w:type="dxa" w:w="120"/>
              <w:right w:type="dxa" w:w="140"/>
            </w:tcMar>
            <w:vAlign w:val="center"/>
          </w:tcPr>
          <w:p>
            <w:pPr>
              <w:spacing w:after="40"/>
              <w:jc w:val="center"/>
            </w:pPr>
            <w:r>
              <w:rPr>
                <w:rFonts w:ascii="Calibri" w:cs="Calibri" w:eastAsia="Calibri" w:hAnsi="Calibri"/>
                <w:b/>
                <w:bCs/>
                <w:color w:val="3A2A22"/>
                <w:sz w:val="20"/>
                <w:szCs w:val="20"/>
              </w:rPr>
              <w:t xml:space="preserve">For the Organization</w:t>
            </w:r>
          </w:p>
        </w:tc>
      </w:tr>
      <w:tr>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A genuine break from routine to pause and recharge</w:t>
            </w:r>
          </w:p>
        </w:tc>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Strengthened culture and camaraderie</w:t>
            </w:r>
          </w:p>
        </w:tc>
      </w:tr>
      <w:tr>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Recognition and rewards through passport completion and contests</w:t>
            </w:r>
          </w:p>
        </w:tc>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Reduced attrition risk during a high-fatigue period</w:t>
            </w:r>
          </w:p>
        </w:tc>
      </w:tr>
      <w:tr>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Stress relief during a demanding period</w:t>
            </w:r>
          </w:p>
        </w:tc>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Better cross-team collaboration</w:t>
            </w:r>
          </w:p>
        </w:tc>
      </w:tr>
      <w:tr>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A strong sense of belonging and inclusion</w:t>
            </w:r>
          </w:p>
        </w:tc>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Demonstrated investment in employee wellbeing</w:t>
            </w:r>
          </w:p>
        </w:tc>
      </w:tr>
      <w:tr>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Space for creativity and self-expression</w:t>
            </w:r>
          </w:p>
        </w:tc>
        <w:tc>
          <w:tcPr>
            <w:tcW w:type="dxa" w:w="4675"/>
            <w:tcMar>
              <w:top w:type="dxa" w:w="120"/>
              <w:left w:type="dxa" w:w="140"/>
              <w:bottom w:type="dxa" w:w="120"/>
              <w:right w:type="dxa" w:w="140"/>
            </w:tcMar>
            <w:vAlign w:val="center"/>
          </w:tcPr>
          <w:p>
            <w:pPr>
              <w:spacing w:after="40"/>
              <w:jc w:val="left"/>
            </w:pPr>
            <w:r>
              <w:rPr>
                <w:rFonts w:ascii="Calibri" w:cs="Calibri" w:eastAsia="Calibri" w:hAnsi="Calibri"/>
                <w:b w:val="false"/>
                <w:bCs w:val="false"/>
                <w:color w:val="3A2A22"/>
                <w:sz w:val="20"/>
                <w:szCs w:val="20"/>
              </w:rPr>
              <w:t xml:space="preserve">• Measurable engagement data via the Season Passport</w:t>
            </w:r>
          </w:p>
        </w:tc>
      </w:tr>
    </w:tbl>
    <w:p>
      <w:pPr>
        <w:pStyle w:val="Heading1"/>
        <w:pBdr>
          <w:bottom w:val="single" w:color="D85A30" w:sz="6" w:space="4"/>
        </w:pBdr>
        <w:spacing w:after="160" w:before="320"/>
      </w:pPr>
      <w:r>
        <w:rPr>
          <w:rFonts w:ascii="Calibri" w:cs="Calibri" w:eastAsia="Calibri" w:hAnsi="Calibri"/>
          <w:b/>
          <w:bCs/>
          <w:color w:val="993C1D"/>
          <w:sz w:val="30"/>
          <w:szCs w:val="30"/>
        </w:rPr>
        <w:t xml:space="preserve">Key Outcomes</w:t>
      </w:r>
    </w:p>
    <w:p>
      <w:pPr>
        <w:pStyle w:val="ListParagraph"/>
        <w:numPr>
          <w:ilvl w:val="0"/>
          <w:numId w:val="2"/>
        </w:numPr>
        <w:spacing w:after="90" w:line="280"/>
      </w:pPr>
      <w:r>
        <w:rPr>
          <w:rFonts w:ascii="Calibri" w:cs="Calibri" w:eastAsia="Calibri" w:hAnsi="Calibri"/>
          <w:color w:val="3A2A22"/>
          <w:sz w:val="22"/>
          <w:szCs w:val="22"/>
        </w:rPr>
        <w:t xml:space="preserve">Stronger connection — more cross-team bonding and inclusion</w:t>
      </w:r>
    </w:p>
    <w:p>
      <w:pPr>
        <w:pStyle w:val="ListParagraph"/>
        <w:numPr>
          <w:ilvl w:val="0"/>
          <w:numId w:val="2"/>
        </w:numPr>
        <w:spacing w:after="90" w:line="280"/>
      </w:pPr>
      <w:r>
        <w:rPr>
          <w:rFonts w:ascii="Calibri" w:cs="Calibri" w:eastAsia="Calibri" w:hAnsi="Calibri"/>
          <w:color w:val="3A2A22"/>
          <w:sz w:val="22"/>
          <w:szCs w:val="22"/>
        </w:rPr>
        <w:t xml:space="preserve">Better wellbeing — built-in recovery during a demanding stretch</w:t>
      </w:r>
    </w:p>
    <w:p>
      <w:pPr>
        <w:pStyle w:val="ListParagraph"/>
        <w:numPr>
          <w:ilvl w:val="0"/>
          <w:numId w:val="2"/>
        </w:numPr>
        <w:spacing w:after="90" w:line="280"/>
      </w:pPr>
      <w:r>
        <w:rPr>
          <w:rFonts w:ascii="Calibri" w:cs="Calibri" w:eastAsia="Calibri" w:hAnsi="Calibri"/>
          <w:color w:val="3A2A22"/>
          <w:sz w:val="22"/>
          <w:szCs w:val="22"/>
        </w:rPr>
        <w:t xml:space="preserve">Healthier culture &amp; retention — visible investment in people during a high-attrition-risk season</w:t>
      </w:r>
    </w:p>
    <w:p>
      <w:pPr>
        <w:pStyle w:val="ListParagraph"/>
        <w:numPr>
          <w:ilvl w:val="0"/>
          <w:numId w:val="2"/>
        </w:numPr>
        <w:spacing w:after="90" w:line="280"/>
      </w:pPr>
      <w:r>
        <w:rPr>
          <w:rFonts w:ascii="Calibri" w:cs="Calibri" w:eastAsia="Calibri" w:hAnsi="Calibri"/>
          <w:color w:val="3A2A22"/>
          <w:sz w:val="22"/>
          <w:szCs w:val="22"/>
        </w:rPr>
        <w:t xml:space="preserve">Measurable impact — tracked via passport completion and pulse surveys</w:t>
      </w:r>
    </w:p>
    <w:p>
      <w:pPr>
        <w:pStyle w:val="Heading1"/>
        <w:pBdr>
          <w:bottom w:val="single" w:color="D85A30" w:sz="6" w:space="4"/>
        </w:pBdr>
        <w:spacing w:after="160" w:before="320"/>
      </w:pPr>
      <w:r>
        <w:rPr>
          <w:rFonts w:ascii="Calibri" w:cs="Calibri" w:eastAsia="Calibri" w:hAnsi="Calibri"/>
          <w:b/>
          <w:bCs/>
          <w:color w:val="993C1D"/>
          <w:sz w:val="30"/>
          <w:szCs w:val="30"/>
        </w:rPr>
        <w:t xml:space="preserve">Program Review</w:t>
      </w:r>
    </w:p>
    <w:p>
      <w:pPr>
        <w:spacing w:after="160" w:line="300"/>
      </w:pPr>
      <w:r>
        <w:rPr>
          <w:rFonts w:ascii="Calibri" w:cs="Calibri" w:eastAsia="Calibri" w:hAnsi="Calibri"/>
          <w:color w:val="3A2A22"/>
          <w:sz w:val="22"/>
          <w:szCs w:val="22"/>
        </w:rPr>
        <w:t xml:space="preserve">Impact is reviewed at the end of the program through Season Passport participation data, pre- and post-program pulse surveys, and qualitative employee feedback — giving HR a clear, data-backed basis to refine or scale Sanyog in future cycles.</w:t>
      </w:r>
    </w:p>
    <w:sectPr>
      <w:headerReference w:type="default" r:id="rId7"/>
      <w:footerReference w:type="default" r:id="rId8"/>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B08A63"/>
        <w:sz w:val="16"/>
        <w:szCs w:val="16"/>
      </w:rPr>
      <w:t xml:space="preserve">Page </w:t>
    </w:r>
    <w:r>
      <w:rPr>
        <w:rFonts w:ascii="Calibri" w:cs="Calibri" w:eastAsia="Calibri" w:hAnsi="Calibri"/>
        <w:color w:val="B08A6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B08A63"/>
        <w:sz w:val="16"/>
        <w:szCs w:val="16"/>
      </w:rPr>
      <w:t xml:space="preserve">SANYOG · Employee Engagement &amp; Wellbeing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2026-09-17T11:51:26.407Z</dcterms:created>
  <dcterms:modified xsi:type="dcterms:W3CDTF">2026-09-17T11:51:26.408Z</dcterms:modified>
</cp:coreProperties>
</file>

<file path=docProps/custom.xml><?xml version="1.0" encoding="utf-8"?>
<Properties xmlns="http://schemas.openxmlformats.org/officeDocument/2006/custom-properties" xmlns:vt="http://schemas.openxmlformats.org/officeDocument/2006/docPropsVTypes"/>
</file>